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危险化学品企业重大危险源安全包保责任制办法（试行）</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Style w:val="5"/>
          <w:rFonts w:hint="eastAsia" w:ascii="仿宋_GB2312" w:hAnsi="仿宋_GB2312" w:eastAsia="仿宋_GB2312" w:cs="仿宋_GB2312"/>
          <w:i w:val="0"/>
          <w:caps w:val="0"/>
          <w:color w:val="333333"/>
          <w:spacing w:val="7"/>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第一条</w:t>
      </w:r>
      <w:r>
        <w:rPr>
          <w:rFonts w:hint="eastAsia" w:ascii="仿宋_GB2312" w:hAnsi="仿宋_GB2312" w:eastAsia="仿宋_GB2312" w:cs="仿宋_GB2312"/>
          <w:i w:val="0"/>
          <w:caps w:val="0"/>
          <w:color w:val="333333"/>
          <w:spacing w:val="7"/>
          <w:sz w:val="32"/>
          <w:szCs w:val="32"/>
          <w:bdr w:val="none" w:color="auto" w:sz="0" w:space="0"/>
          <w:shd w:val="clear" w:fill="FFFFFF"/>
        </w:rPr>
        <w:t>  为保护人民生命财产安全，强化危险化学品企业安全生产主体责任落实，细化重大安全风险管控责任，防范重特大事故，依据《中华人民共和国安全生产法》《危险化学品安全管理条例》《危险化学品重大危险源监督管理暂行规定》等法律、行政法规、部门规章，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第二条</w:t>
      </w:r>
      <w:r>
        <w:rPr>
          <w:rFonts w:hint="eastAsia" w:ascii="仿宋_GB2312" w:hAnsi="仿宋_GB2312" w:eastAsia="仿宋_GB2312" w:cs="仿宋_GB2312"/>
          <w:i w:val="0"/>
          <w:caps w:val="0"/>
          <w:color w:val="333333"/>
          <w:spacing w:val="7"/>
          <w:sz w:val="32"/>
          <w:szCs w:val="32"/>
          <w:bdr w:val="none" w:color="auto" w:sz="0" w:space="0"/>
          <w:shd w:val="clear" w:fill="FFFFFF"/>
        </w:rPr>
        <w:t>  本办法适用于取得应急管理部门许可的涉及危险化学品重大危险源（以下简称重大危险源）的危险化学品生产企业、经营（带储存）企业、使用危险化学品从事生产的化工企业（以下简称危险化学品企业），不含无生产实体的集团公司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第三条</w:t>
      </w:r>
      <w:r>
        <w:rPr>
          <w:rFonts w:hint="eastAsia" w:ascii="仿宋_GB2312" w:hAnsi="仿宋_GB2312" w:eastAsia="仿宋_GB2312" w:cs="仿宋_GB2312"/>
          <w:i w:val="0"/>
          <w:caps w:val="0"/>
          <w:color w:val="333333"/>
          <w:spacing w:val="7"/>
          <w:sz w:val="32"/>
          <w:szCs w:val="32"/>
          <w:bdr w:val="none" w:color="auto" w:sz="0" w:space="0"/>
          <w:shd w:val="clear" w:fill="FFFFFF"/>
        </w:rPr>
        <w:t>  危险化学品企业应当明确本企业每一处重大危险源的主要负责人、技术负责人和操作负责人，从总体管理、技术管理、操作管理三个层面对重大危险源实行安全包保。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第二章  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第四条</w:t>
      </w:r>
      <w:r>
        <w:rPr>
          <w:rFonts w:hint="eastAsia" w:ascii="仿宋_GB2312" w:hAnsi="仿宋_GB2312" w:eastAsia="仿宋_GB2312" w:cs="仿宋_GB2312"/>
          <w:i w:val="0"/>
          <w:caps w:val="0"/>
          <w:color w:val="333333"/>
          <w:spacing w:val="7"/>
          <w:sz w:val="32"/>
          <w:szCs w:val="32"/>
          <w:bdr w:val="none" w:color="auto" w:sz="0" w:space="0"/>
          <w:shd w:val="clear" w:fill="FFFFFF"/>
        </w:rPr>
        <w:t>  重大危险源的主要负责人，对所包保的重大危险源负有下列安全职责：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（一）组织建立重大危险源安全包保责任制并指定对重大危险源负有安全包保责任的技术负责人、操作负责人；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（二）组织制定重大危险源安全生产规章制度和操作规程，并采取有效措施保证其得到执行；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（三）组织对重大危险源的管理和操作岗位人员进行安全技能培训；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（四）保证重大危险源安全生产所必需的安全投入；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（五）督促、检查重大危险源安全生产工作；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（六）组织制定并实施重大危险源生产安全事故应急救援预案；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（七）组织通过危险化学品登记信息管理系统填报重大危险源有关信息，保证重大危险源安全监测监控有关数据接入危险化学品安全生产风险监测预警系统。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第五条</w:t>
      </w:r>
      <w:r>
        <w:rPr>
          <w:rFonts w:hint="eastAsia" w:ascii="仿宋_GB2312" w:hAnsi="仿宋_GB2312" w:eastAsia="仿宋_GB2312" w:cs="仿宋_GB2312"/>
          <w:i w:val="0"/>
          <w:caps w:val="0"/>
          <w:color w:val="333333"/>
          <w:spacing w:val="7"/>
          <w:sz w:val="32"/>
          <w:szCs w:val="32"/>
          <w:bdr w:val="none" w:color="auto" w:sz="0" w:space="0"/>
          <w:shd w:val="clear" w:fill="FFFFFF"/>
        </w:rPr>
        <w:t>  重大危险源的技术负责人，对所包保的重大危险源负有下列安全职责：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（一）组织实施重大危险源安全监测监控体系建设，完善控制措施，保证安全监测监控系统符合国家标准或者行业标准的规定；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（二）组织定期对安全设施和监测监控系统进行检测、检验，并进行经常性维护、保养，保证有效、可靠运行；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（三）对于超过个人和社会可容许风险值限值标准的重大危险源，组织采取相应的降低风险措施，直至风险满足可容许风险标准要求；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（四）组织审查涉及重大危险源的外来施工单位及人员的相关资质、安全管理等情况，审查涉及重大危险源的变更管理；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（五）每季度至少组织对重大危险源进行一次针对性安全风险隐患排查，重大活动、重点时段和节假日前必须进行重大危险源安全风险隐患排查，制定管控措施和治理方案并监督落实；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（六）组织演练重大危险源专项应急预案和现场处置方案。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第六条</w:t>
      </w:r>
      <w:r>
        <w:rPr>
          <w:rFonts w:hint="eastAsia" w:ascii="仿宋_GB2312" w:hAnsi="仿宋_GB2312" w:eastAsia="仿宋_GB2312" w:cs="仿宋_GB2312"/>
          <w:i w:val="0"/>
          <w:caps w:val="0"/>
          <w:color w:val="333333"/>
          <w:spacing w:val="7"/>
          <w:sz w:val="32"/>
          <w:szCs w:val="32"/>
          <w:bdr w:val="none" w:color="auto" w:sz="0" w:space="0"/>
          <w:shd w:val="clear" w:fill="FFFFFF"/>
        </w:rPr>
        <w:t>  重大危险源的操作负责人，对所包保的重大危险源负有下列安全职责：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（一）负责督促检查各岗位严格执行重大危险源安全生产规章制度和操作规程；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（二）对涉及重大危险源的特殊作业、检维修作业等进行监督检查，督促落实作业安全管控措施；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（三）每周至少组织一次重大危险源安全风险隐患排查；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（四）及时采取措施消除重大危险源事故隐患。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第三章  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第七条</w:t>
      </w:r>
      <w:r>
        <w:rPr>
          <w:rFonts w:hint="eastAsia" w:ascii="仿宋_GB2312" w:hAnsi="仿宋_GB2312" w:eastAsia="仿宋_GB2312" w:cs="仿宋_GB2312"/>
          <w:i w:val="0"/>
          <w:caps w:val="0"/>
          <w:color w:val="333333"/>
          <w:spacing w:val="7"/>
          <w:sz w:val="32"/>
          <w:szCs w:val="32"/>
          <w:bdr w:val="none" w:color="auto" w:sz="0" w:space="0"/>
          <w:shd w:val="clear" w:fill="FFFFFF"/>
        </w:rPr>
        <w:t>  危险化学品企业应当在重大危险源安全警示标志位置设立公示牌，写明重大危险源的主要负责人、技术负责人、操作负责人姓名、对应的安全包保职责及联系方式，接受员工监督。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重大危险源安全包保责任人、联系方式应当录入全国危险化学品登记信息管理系统，并向所在地应急管理部门报备，相关信息变更的，应当于变更后5日内在全国危险化学品登记信息管理系统中更新。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第八条</w:t>
      </w:r>
      <w:r>
        <w:rPr>
          <w:rFonts w:hint="eastAsia" w:ascii="仿宋_GB2312" w:hAnsi="仿宋_GB2312" w:eastAsia="仿宋_GB2312" w:cs="仿宋_GB2312"/>
          <w:i w:val="0"/>
          <w:caps w:val="0"/>
          <w:color w:val="333333"/>
          <w:spacing w:val="7"/>
          <w:sz w:val="32"/>
          <w:szCs w:val="32"/>
          <w:bdr w:val="none" w:color="auto" w:sz="0" w:space="0"/>
          <w:shd w:val="clear" w:fill="FFFFFF"/>
        </w:rPr>
        <w:t>  危险化学品企业应当按照《应急管理部关于全面实施危险化学品企业安全风险研判与承诺公告制度的通知》（应急〔2018〕74号）有关要求，向社会承诺公告重大危险源安全风险管控情况，在安全承诺公告牌企业承诺内容中增加落实重大危险源安全包保责任的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第九条</w:t>
      </w:r>
      <w:r>
        <w:rPr>
          <w:rFonts w:hint="eastAsia" w:ascii="仿宋_GB2312" w:hAnsi="仿宋_GB2312" w:eastAsia="仿宋_GB2312" w:cs="仿宋_GB2312"/>
          <w:i w:val="0"/>
          <w:caps w:val="0"/>
          <w:color w:val="333333"/>
          <w:spacing w:val="7"/>
          <w:sz w:val="32"/>
          <w:szCs w:val="32"/>
          <w:bdr w:val="none" w:color="auto" w:sz="0" w:space="0"/>
          <w:shd w:val="clear" w:fill="FFFFFF"/>
        </w:rPr>
        <w:t>  危险化学品企业应当建立重大危险源主要负责人、技术负责人、操作负责人的安全包保履职记录，做到可查询、可追溯，企业的安全管理机构应当对包保责任人履职情况进行评估，纳入企业安全生产责任制考核与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第十条</w:t>
      </w:r>
      <w:r>
        <w:rPr>
          <w:rFonts w:hint="eastAsia" w:ascii="仿宋_GB2312" w:hAnsi="仿宋_GB2312" w:eastAsia="仿宋_GB2312" w:cs="仿宋_GB2312"/>
          <w:i w:val="0"/>
          <w:caps w:val="0"/>
          <w:color w:val="333333"/>
          <w:spacing w:val="7"/>
          <w:sz w:val="32"/>
          <w:szCs w:val="32"/>
          <w:bdr w:val="none" w:color="auto" w:sz="0" w:space="0"/>
          <w:shd w:val="clear" w:fill="FFFFFF"/>
        </w:rPr>
        <w:t>  地方各级应急管理部门应当完善危险化学品安全生产风险监测预警机制，保证重大危险源预警信息能够及时推送给对应的安全包保责任人。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第十一条</w:t>
      </w:r>
      <w:r>
        <w:rPr>
          <w:rFonts w:hint="eastAsia" w:ascii="仿宋_GB2312" w:hAnsi="仿宋_GB2312" w:eastAsia="仿宋_GB2312" w:cs="仿宋_GB2312"/>
          <w:i w:val="0"/>
          <w:caps w:val="0"/>
          <w:color w:val="333333"/>
          <w:spacing w:val="7"/>
          <w:sz w:val="32"/>
          <w:szCs w:val="32"/>
          <w:bdr w:val="none" w:color="auto" w:sz="0" w:space="0"/>
          <w:shd w:val="clear" w:fill="FFFFFF"/>
        </w:rPr>
        <w:t>  各级应急管理部门、危险化学品企业应当结合安全生产标准化建设、风险分级管控和隐患排查治理体系建设，运用信息化工具，加强重大危险源安全管理。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第四章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第十二条</w:t>
      </w:r>
      <w:r>
        <w:rPr>
          <w:rFonts w:hint="eastAsia" w:ascii="仿宋_GB2312" w:hAnsi="仿宋_GB2312" w:eastAsia="仿宋_GB2312" w:cs="仿宋_GB2312"/>
          <w:i w:val="0"/>
          <w:caps w:val="0"/>
          <w:color w:val="333333"/>
          <w:spacing w:val="7"/>
          <w:sz w:val="32"/>
          <w:szCs w:val="32"/>
          <w:bdr w:val="none" w:color="auto" w:sz="0" w:space="0"/>
          <w:shd w:val="clear" w:fill="FFFFFF"/>
        </w:rPr>
        <w:t>  地方各级应急管理部门应当运用危险化学品安全生产风险监测预警系统，加强对重大危险源安全运行情况的在线巡查抽查，将重大危险源安全包保责任制落实情况纳入监督检查范畴。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第十三条</w:t>
      </w:r>
      <w:r>
        <w:rPr>
          <w:rFonts w:hint="eastAsia" w:ascii="仿宋_GB2312" w:hAnsi="仿宋_GB2312" w:eastAsia="仿宋_GB2312" w:cs="仿宋_GB2312"/>
          <w:i w:val="0"/>
          <w:caps w:val="0"/>
          <w:color w:val="333333"/>
          <w:spacing w:val="7"/>
          <w:sz w:val="32"/>
          <w:szCs w:val="32"/>
          <w:bdr w:val="none" w:color="auto" w:sz="0" w:space="0"/>
          <w:shd w:val="clear" w:fill="FFFFFF"/>
        </w:rPr>
        <w:t>  危险化学品企业未按照相关要求对重大危险源安全进行监测监控的，未明确重大危险源中关键装置、重点部位的责任人的，未对重大危险源的安全生产状况进行定期检查、采取措施消除事故隐患的，以及存在其他违法违规行为的，由县级以上应急管理部门依法依规查处；有关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第十四条 </w:t>
      </w:r>
      <w:r>
        <w:rPr>
          <w:rFonts w:hint="eastAsia" w:ascii="仿宋_GB2312" w:hAnsi="仿宋_GB2312" w:eastAsia="仿宋_GB2312" w:cs="仿宋_GB2312"/>
          <w:i w:val="0"/>
          <w:caps w:val="0"/>
          <w:color w:val="333333"/>
          <w:spacing w:val="7"/>
          <w:sz w:val="32"/>
          <w:szCs w:val="32"/>
          <w:bdr w:val="none" w:color="auto" w:sz="0" w:space="0"/>
          <w:shd w:val="clear" w:fill="FFFFFF"/>
        </w:rPr>
        <w:t> 地方各级应急管理部门应当加强对涉及重大危险源的危险化学品企业的监督检查，督促有关企业做好重大危险源辨识、评估、备案、核销等工作，并及时通过危险化学品登记信息管理系统填报重大危险源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　　第十五条</w:t>
      </w:r>
      <w:r>
        <w:rPr>
          <w:rFonts w:hint="eastAsia" w:ascii="仿宋_GB2312" w:hAnsi="仿宋_GB2312" w:eastAsia="仿宋_GB2312" w:cs="仿宋_GB2312"/>
          <w:i w:val="0"/>
          <w:caps w:val="0"/>
          <w:color w:val="333333"/>
          <w:spacing w:val="7"/>
          <w:sz w:val="32"/>
          <w:szCs w:val="32"/>
          <w:bdr w:val="none" w:color="auto" w:sz="0" w:space="0"/>
          <w:shd w:val="clear" w:fill="FFFFFF"/>
        </w:rPr>
        <w:t>  本办法下列用语的含义：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（一）安全包保，是指危险化学品企业按照本办法要求，专门为重大危险源指定主要负责人、技术负责人和操作负责人，并由其包联保证重大危险源安全管理措施落实到位的一种安全生产责任制。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（二）重大危险源的主要负责人，应当由危险化学品企业的主要负责人担任。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（三）重大危险源的技术负责人，应当由危险化学品企业层面技术、生产、设备等分管负责人或者二级单位（分厂）层面有关负责人担任。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r>
        <w:rPr>
          <w:rFonts w:hint="eastAsia" w:ascii="仿宋_GB2312" w:hAnsi="仿宋_GB2312" w:eastAsia="仿宋_GB2312" w:cs="仿宋_GB2312"/>
          <w:i w:val="0"/>
          <w:caps w:val="0"/>
          <w:color w:val="333333"/>
          <w:spacing w:val="7"/>
          <w:sz w:val="32"/>
          <w:szCs w:val="32"/>
          <w:bdr w:val="none" w:color="auto" w:sz="0" w:space="0"/>
          <w:shd w:val="clear" w:fill="FFFFFF"/>
        </w:rPr>
        <w:t>　　（四）重大危险源的操作负责人，应当由重大危险源生产单元、储存单元所在车间、单位的现场直接管理人员担任，例如车间主任。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caps w:val="0"/>
          <w:color w:val="333333"/>
          <w:spacing w:val="7"/>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75"/>
        <w:jc w:val="both"/>
        <w:rPr>
          <w:rFonts w:hint="eastAsia" w:ascii="仿宋_GB2312" w:hAnsi="仿宋_GB2312" w:eastAsia="仿宋_GB2312" w:cs="仿宋_GB2312"/>
          <w:i w:val="0"/>
          <w:caps w:val="0"/>
          <w:color w:val="333333"/>
          <w:spacing w:val="7"/>
          <w:sz w:val="32"/>
          <w:szCs w:val="32"/>
          <w:bdr w:val="none" w:color="auto" w:sz="0" w:space="0"/>
          <w:shd w:val="clear" w:fill="FFFFFF"/>
        </w:rPr>
      </w:pPr>
      <w:r>
        <w:rPr>
          <w:rStyle w:val="5"/>
          <w:rFonts w:hint="eastAsia" w:ascii="仿宋_GB2312" w:hAnsi="仿宋_GB2312" w:eastAsia="仿宋_GB2312" w:cs="仿宋_GB2312"/>
          <w:i w:val="0"/>
          <w:caps w:val="0"/>
          <w:color w:val="333333"/>
          <w:spacing w:val="7"/>
          <w:sz w:val="32"/>
          <w:szCs w:val="32"/>
          <w:bdr w:val="none" w:color="auto" w:sz="0" w:space="0"/>
          <w:shd w:val="clear" w:fill="FFFFFF"/>
        </w:rPr>
        <w:t>第十六条</w:t>
      </w:r>
      <w:r>
        <w:rPr>
          <w:rFonts w:hint="eastAsia" w:ascii="仿宋_GB2312" w:hAnsi="仿宋_GB2312" w:eastAsia="仿宋_GB2312" w:cs="仿宋_GB2312"/>
          <w:i w:val="0"/>
          <w:caps w:val="0"/>
          <w:color w:val="333333"/>
          <w:spacing w:val="7"/>
          <w:sz w:val="32"/>
          <w:szCs w:val="32"/>
          <w:bdr w:val="none" w:color="auto" w:sz="0" w:space="0"/>
          <w:shd w:val="clear" w:fill="FFFFFF"/>
        </w:rPr>
        <w:t>  本办法自印发之日起施行，有效期三年。《应急管理部关于实施危险化学品重大危险源源长责任制的通知》（应急〔2018〕89号）同时废止。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75"/>
        <w:jc w:val="both"/>
        <w:rPr>
          <w:rFonts w:hint="eastAsia" w:ascii="仿宋_GB2312" w:hAnsi="仿宋_GB2312" w:eastAsia="仿宋_GB2312" w:cs="仿宋_GB2312"/>
          <w:i w:val="0"/>
          <w:caps w:val="0"/>
          <w:color w:val="333333"/>
          <w:spacing w:val="7"/>
          <w:sz w:val="32"/>
          <w:szCs w:val="32"/>
          <w:bdr w:val="none" w:color="auto" w:sz="0" w:space="0"/>
          <w:shd w:val="clear" w:fill="FFFFFF"/>
          <w:lang w:eastAsia="zh-CN"/>
        </w:rPr>
      </w:pPr>
      <w:r>
        <w:rPr>
          <w:rFonts w:hint="eastAsia" w:ascii="仿宋_GB2312" w:hAnsi="仿宋_GB2312" w:eastAsia="仿宋_GB2312" w:cs="仿宋_GB2312"/>
          <w:i w:val="0"/>
          <w:caps w:val="0"/>
          <w:color w:val="333333"/>
          <w:spacing w:val="7"/>
          <w:sz w:val="32"/>
          <w:szCs w:val="32"/>
          <w:bdr w:val="none" w:color="auto" w:sz="0" w:space="0"/>
          <w:shd w:val="clear" w:fill="FFFFFF"/>
          <w:lang w:eastAsia="zh-CN"/>
        </w:rPr>
        <w:drawing>
          <wp:inline distT="0" distB="0" distL="114300" distR="114300">
            <wp:extent cx="5269865" cy="6273800"/>
            <wp:effectExtent l="0" t="0" r="3175" b="5080"/>
            <wp:docPr id="2" name="图片 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webp"/>
                    <pic:cNvPicPr>
                      <a:picLocks noChangeAspect="1"/>
                    </pic:cNvPicPr>
                  </pic:nvPicPr>
                  <pic:blipFill>
                    <a:blip r:embed="rId4"/>
                    <a:stretch>
                      <a:fillRect/>
                    </a:stretch>
                  </pic:blipFill>
                  <pic:spPr>
                    <a:xfrm>
                      <a:off x="0" y="0"/>
                      <a:ext cx="5269865" cy="62738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7"/>
          <w:sz w:val="20"/>
          <w:szCs w:val="20"/>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魏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95276"/>
    <w:rsid w:val="3B295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2021-02-09T02:16:00Z</dcterms:created>
  <dc:creator>Hins Lee</dc:creator>
  <cp:lastModifiedBy>Hins Lee</cp:lastModifiedBy>
  <dcterms:modified xsi:type="dcterms:W3CDTF">2021-02-09T02:20:13Z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263576312_btnclosed</vt:lpwstr>
  </property>
</Properties>
</file>